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Политика в отношении обработки персональных данных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1. Общие положения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Егоров Алексей Сергеевич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(далее – Оператор).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2. Основные понятия, используемые в Политике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2.9. Пользователь – любой посетитель веб-сайта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3. Оператор может обрабатывать следующие персональные данные Пользователя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3.1. Фамилия, имя, отчество;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3.2. Номера телефонов;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3.3.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3.4. Вышеперечисленные данные далее по тексту Политики объединены общим понятием Персональные данные.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4. Цели обработки персональных данных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4.1. Цель обработки персональных данных Пользователя — уточнение деталей заказа.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dreamdoors@bk.ru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5. Правовые основания обработки персональных данных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6. Порядок сбора, хранения, передачи и других видов обработки персональных данных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dreamdoors@bk.ru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пометкой «Актуализация персональных данных».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dreamdoors@bk.ru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7. Трансграничная передача персональных данных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0E77A8" w:rsidRPr="000E77A8" w:rsidRDefault="000E77A8" w:rsidP="000E77A8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lastRenderedPageBreak/>
        <w:t>8. Заключительные положения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dreamdoors@bk.ru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E77A8" w:rsidRPr="000E77A8" w:rsidRDefault="000E77A8" w:rsidP="000E77A8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8.3. Актуальная версия Политики в свободном доступе расположена в сети Интернет по адресу 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eastAsia="ru-RU"/>
        </w:rPr>
        <w:t>https://dreamdoors.one</w:t>
      </w:r>
      <w:r w:rsidRPr="000E77A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833CB" w:rsidRDefault="007833CB">
      <w:bookmarkStart w:id="0" w:name="_GoBack"/>
      <w:bookmarkEnd w:id="0"/>
    </w:p>
    <w:sectPr w:rsidR="0078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A8"/>
    <w:rsid w:val="000E77A8"/>
    <w:rsid w:val="007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D08F2-558B-44F1-BB8F-53A1DC38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7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E77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7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77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E77A8"/>
    <w:rPr>
      <w:b/>
      <w:bCs/>
    </w:rPr>
  </w:style>
  <w:style w:type="character" w:customStyle="1" w:styleId="link">
    <w:name w:val="link"/>
    <w:basedOn w:val="a0"/>
    <w:rsid w:val="000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85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53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5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77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1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2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24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608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589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3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52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72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JuliaSk</dc:creator>
  <cp:keywords/>
  <dc:description/>
  <cp:lastModifiedBy>JuliaSk</cp:lastModifiedBy>
  <cp:revision>1</cp:revision>
  <dcterms:created xsi:type="dcterms:W3CDTF">2020-12-07T06:26:00Z</dcterms:created>
  <dcterms:modified xsi:type="dcterms:W3CDTF">2020-12-07T06:26:00Z</dcterms:modified>
</cp:coreProperties>
</file>